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29505" w14:textId="77777777" w:rsidR="00287B59" w:rsidRDefault="00287B59"/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02"/>
        <w:gridCol w:w="1156"/>
        <w:gridCol w:w="1572"/>
        <w:gridCol w:w="1246"/>
        <w:gridCol w:w="1537"/>
        <w:gridCol w:w="1377"/>
        <w:gridCol w:w="1342"/>
      </w:tblGrid>
      <w:tr w:rsidR="00287B59" w14:paraId="69CD8D3A" w14:textId="77777777">
        <w:trPr>
          <w:trHeight w:val="711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BE091" w14:textId="77777777" w:rsidR="00287B59" w:rsidRDefault="00BD204B">
            <w:pPr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3881C3C" wp14:editId="77B01D7C">
                  <wp:extent cx="742950" cy="271889"/>
                  <wp:effectExtent l="0" t="0" r="0" b="0"/>
                  <wp:docPr id="1073741825" name="officeArt object" descr="Immagin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magine 1" descr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7188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30F57" w14:textId="77777777" w:rsidR="00287B59" w:rsidRDefault="00BD204B">
            <w:pPr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3A680945" wp14:editId="44387335">
                  <wp:extent cx="590550" cy="322471"/>
                  <wp:effectExtent l="0" t="0" r="0" b="0"/>
                  <wp:docPr id="1073741826" name="officeArt object" descr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magine 2" descr="Immagin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24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4F67" w14:textId="77777777" w:rsidR="00287B59" w:rsidRDefault="00BD204B">
            <w:pPr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4A89B9C" wp14:editId="136683F8">
                  <wp:extent cx="861633" cy="304800"/>
                  <wp:effectExtent l="0" t="0" r="0" b="0"/>
                  <wp:docPr id="1073741827" name="officeArt object" descr="Immagin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7" name="Immagine 9" descr="Immagine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633" cy="304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F13D" w14:textId="77777777" w:rsidR="00287B59" w:rsidRDefault="00BD204B">
            <w:pPr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EE181D5" wp14:editId="0C3E9FD3">
                  <wp:extent cx="628650" cy="316987"/>
                  <wp:effectExtent l="0" t="0" r="0" b="0"/>
                  <wp:docPr id="1073741828" name="officeArt object" descr="Immagin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magine 4" descr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31698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DB4A9" w14:textId="77777777" w:rsidR="00287B59" w:rsidRDefault="00BD204B">
            <w:pPr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59861427" wp14:editId="07C00658">
                  <wp:extent cx="838200" cy="333810"/>
                  <wp:effectExtent l="0" t="0" r="0" b="0"/>
                  <wp:docPr id="1073741829" name="officeArt object" descr="Immagin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9" name="Immagine 5" descr="Immagine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6074" t="13077" r="466" b="204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3381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888D8" w14:textId="77777777" w:rsidR="00287B59" w:rsidRDefault="00BD204B">
            <w:pPr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6CC02034" wp14:editId="21A05A9C">
                  <wp:extent cx="723900" cy="410320"/>
                  <wp:effectExtent l="0" t="0" r="0" b="0"/>
                  <wp:docPr id="1073741830" name="officeArt object" descr="Immagin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0" name="Immagine 6" descr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54" t="23111" b="22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1032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68AF3" w14:textId="7D568E0D" w:rsidR="00287B59" w:rsidRDefault="00965794">
            <w:r>
              <w:rPr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7C948506" wp14:editId="098D6CD0">
                  <wp:extent cx="799734" cy="352425"/>
                  <wp:effectExtent l="0" t="0" r="63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90" t="16926" r="12437" b="28068"/>
                          <a:stretch/>
                        </pic:blipFill>
                        <pic:spPr bwMode="auto">
                          <a:xfrm>
                            <a:off x="0" y="0"/>
                            <a:ext cx="806677" cy="355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AFDB11" w14:textId="77777777" w:rsidR="00287B59" w:rsidRPr="005C4BBD" w:rsidRDefault="00287B59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3CB5B" w14:textId="77777777" w:rsidR="00287B59" w:rsidRPr="005C4BBD" w:rsidRDefault="00287B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B4D3408" w14:textId="77777777" w:rsidR="00287B59" w:rsidRPr="005C4BBD" w:rsidRDefault="00BD204B">
      <w:pPr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Cremona, mercoledì 24 novembre 2020</w:t>
      </w:r>
    </w:p>
    <w:p w14:paraId="4BD1E5CE" w14:textId="77777777" w:rsidR="00287B59" w:rsidRPr="005C4BBD" w:rsidRDefault="00287B59">
      <w:pPr>
        <w:rPr>
          <w:rFonts w:ascii="Times New Roman" w:eastAsia="Palatino" w:hAnsi="Times New Roman" w:cs="Times New Roman"/>
          <w:sz w:val="24"/>
          <w:szCs w:val="24"/>
        </w:rPr>
      </w:pPr>
    </w:p>
    <w:p w14:paraId="4E69F3F1" w14:textId="77777777" w:rsidR="00287B59" w:rsidRPr="005C4BBD" w:rsidRDefault="00BD204B">
      <w:pPr>
        <w:rPr>
          <w:rFonts w:ascii="Times New Roman" w:eastAsia="Palatino" w:hAnsi="Times New Roman" w:cs="Times New Roman"/>
          <w:b/>
          <w:bCs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Oggetto: richieste unitarie delle associazioni del commercio e dell’artigianato alle Istituzioni e ai rappresentanti territoriali</w:t>
      </w:r>
    </w:p>
    <w:p w14:paraId="51C031CD" w14:textId="77777777" w:rsidR="00287B59" w:rsidRPr="005C4BBD" w:rsidRDefault="00287B59">
      <w:pPr>
        <w:rPr>
          <w:rFonts w:ascii="Times New Roman" w:eastAsia="Palatino" w:hAnsi="Times New Roman" w:cs="Times New Roman"/>
          <w:sz w:val="24"/>
          <w:szCs w:val="24"/>
        </w:rPr>
      </w:pPr>
    </w:p>
    <w:p w14:paraId="554369BA" w14:textId="77777777" w:rsidR="00287B59" w:rsidRPr="005C4BBD" w:rsidRDefault="00BD204B">
      <w:pPr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 xml:space="preserve">Confartigianato (di Cremona e Crema), CNA, Confcommercio, Confesercenti, Sistema Impresa – Asvicom, in rappresentanza dei comparti economici del Commercio, Turismo, Servizi Trasporti e Artigianato, in considerazione della gravissima difficoltà del  momento che mette a rischio la sopravvivenza di migliaia di imprese e famiglie, hanno stilato il presente documento comune da sottoporre ai rappresentanti politici eletti nel nostro territorio, nella convinzione di potere avere risposte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esurienti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 da chi ha assunto, chiedendoci il voto, la responsabilità di rappresentare le istanze della nostra provincia nelle varie sedi. </w:t>
      </w:r>
    </w:p>
    <w:p w14:paraId="163BDFC3" w14:textId="77777777" w:rsidR="00287B59" w:rsidRPr="005C4BBD" w:rsidRDefault="00BD204B">
      <w:pPr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Le nostre imprese hanno pagato un prezzo pesantissimo tanto nella prima fase (in cui il nostro territorio è stato tra i più colpiti dalla pandemia), quanto nelle ultime settimane (con l’introduzione della zona rossa regionale e non su base provinciale nonostante la ulteriore suddivisione sub regionale fosse consentita dal DPCM e qui da noi i dati fossero da zona gialla).</w:t>
      </w:r>
    </w:p>
    <w:p w14:paraId="1203F17E" w14:textId="77777777" w:rsidR="00287B59" w:rsidRPr="005C4BBD" w:rsidRDefault="00BD204B">
      <w:pPr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 xml:space="preserve">Il nostro appello nasce dalla consapevolezza che l’emergenza sanitaria stia diventando anche economica e (inevitabilmente) sociale. E dalla esigenza di esprimere con tutte le nostre forze il diritto costituzionale al lavoro e alla dignità dell’uomo. Non vogliamo assistenzialismo, ma la possibilità di programmare e organizzare le nostre aziende, la nostra vita e, se ci è concesso, i nostri sogni. </w:t>
      </w:r>
    </w:p>
    <w:p w14:paraId="3C542459" w14:textId="77777777" w:rsidR="00287B59" w:rsidRPr="005C4BBD" w:rsidRDefault="00BD204B">
      <w:pPr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 xml:space="preserve">Per questo lanciamo un appello unitario a tutte le Istituzioni e ai rappresentanti del territorio per superare la situazione attuale e per accompagnare la ripartenza. </w:t>
      </w:r>
    </w:p>
    <w:p w14:paraId="03033F4E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 xml:space="preserve">Riaffermare il diritto al lavoro </w:t>
      </w:r>
      <w:r w:rsidRPr="005C4BBD">
        <w:rPr>
          <w:rFonts w:ascii="Times New Roman" w:eastAsia="Palatino" w:hAnsi="Times New Roman" w:cs="Times New Roman"/>
          <w:b/>
          <w:bCs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 xml:space="preserve">Vogliamo innanzitutto lavorare garantendo la sicurezza nostra, dei dipendenti, dei clienti. Rifiutiamo l’idea ingiusta che le nostre imprese siano luoghi pericolosi di contagio o, ancora peggio, “sacrificabili” o “non necessarie”. Lo riteniamo un insulto alla nostra storia e alla nostra dignità. Abbiamo fatto investimenti importanti per andare avanti con coraggio, rispettando protocolli e linee guida per la sicurezza nostra e dei clienti e digitalizzando le nostre aziende (quando è stato possibile). Esigiamo una programmazione per il futuro e una valutazione seria della situazione non basata sull’improvvisazione. Ci sono settori dell’economia, come quelli legati alla moda e al turismo, che richiedono programmazioni e investimenti da un anno per l’altro. Non possiamo più accettare provvedimenti emanati alla giornata, che non hanno alcuna logica e che sono, al loro interno, profondamente incoerenti. (perché le scarpe per i bambini sì e quelle per gli adulti no? Perché i parrucchieri sono aperti e gli estetisti chiusi? L’intimo è consentito ma la moda in generale è chiusa?) 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</w:p>
    <w:p w14:paraId="2EA04610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Evitare gli errori del passato per tornare alla normalità e non affossare il paese</w:t>
      </w:r>
      <w:r w:rsidRPr="005C4BBD">
        <w:rPr>
          <w:rFonts w:ascii="Times New Roman" w:eastAsia="Palatino" w:hAnsi="Times New Roman" w:cs="Times New Roman"/>
          <w:b/>
          <w:bCs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 xml:space="preserve">Riteniamo che, in questi mesi, siano stati commessi errori pesanti. Da maggio </w:t>
      </w:r>
      <w:proofErr w:type="gramStart"/>
      <w:r w:rsidRPr="005C4BBD">
        <w:rPr>
          <w:rFonts w:ascii="Times New Roman" w:hAnsi="Times New Roman" w:cs="Times New Roman"/>
          <w:sz w:val="24"/>
          <w:szCs w:val="24"/>
        </w:rPr>
        <w:t>c’è  stato</w:t>
      </w:r>
      <w:proofErr w:type="gramEnd"/>
      <w:r w:rsidRPr="005C4BBD">
        <w:rPr>
          <w:rFonts w:ascii="Times New Roman" w:hAnsi="Times New Roman" w:cs="Times New Roman"/>
          <w:sz w:val="24"/>
          <w:szCs w:val="24"/>
        </w:rPr>
        <w:t xml:space="preserve"> tutto il tempo per poter valutare possibili scenari ed interventi alternativi. Ma non li abbiamo visti. C'è stata un’inefficienza complessiva che si rifletterà sul futuro di molte nostre imprese e delle loro famiglie. La stessa incertezza (ed è ancora più preoccupante) la viviamo per quanto riguarda il futuro (ad </w:t>
      </w:r>
      <w:proofErr w:type="gramStart"/>
      <w:r w:rsidRPr="005C4BBD">
        <w:rPr>
          <w:rFonts w:ascii="Times New Roman" w:hAnsi="Times New Roman" w:cs="Times New Roman"/>
          <w:sz w:val="24"/>
          <w:szCs w:val="24"/>
        </w:rPr>
        <w:t>esempio,  in</w:t>
      </w:r>
      <w:proofErr w:type="gramEnd"/>
      <w:r w:rsidRPr="005C4BBD">
        <w:rPr>
          <w:rFonts w:ascii="Times New Roman" w:hAnsi="Times New Roman" w:cs="Times New Roman"/>
          <w:sz w:val="24"/>
          <w:szCs w:val="24"/>
        </w:rPr>
        <w:t xml:space="preserve"> relazione al piano sanitario ma anche alla diatriba all’interno del governo sulla apertura o no delle scuole, piuttosto che delle attività economiche). O ancora ai “bonus” distribuiti senza alcuna logica e senza alcuna efficacia (come quello sui monopattini o quello vacanze) che non hanno risolto per nulla il problema dei trasporti (dove c’è un vero problema di contagio perché in un autobus viaggiano venti persone e in un negozio che ha la stessa superficie potrebbero entrare al massimo due persone. Ma i </w:t>
      </w:r>
      <w:proofErr w:type="gramStart"/>
      <w:r w:rsidRPr="005C4BBD">
        <w:rPr>
          <w:rFonts w:ascii="Times New Roman" w:hAnsi="Times New Roman" w:cs="Times New Roman"/>
          <w:sz w:val="24"/>
          <w:szCs w:val="24"/>
        </w:rPr>
        <w:t>trasporti  pubblici</w:t>
      </w:r>
      <w:proofErr w:type="gramEnd"/>
      <w:r w:rsidRPr="005C4BBD">
        <w:rPr>
          <w:rFonts w:ascii="Times New Roman" w:hAnsi="Times New Roman" w:cs="Times New Roman"/>
          <w:sz w:val="24"/>
          <w:szCs w:val="24"/>
        </w:rPr>
        <w:t xml:space="preserve"> sono consentiti e le attività private sono chiuse) Bisogna, cioè, mettere in campo le riforme e gli investimenti indispensabili per costruire un ritorno alla crescita stabile e robusto. E soprattutto veloce. Gli analisti prevedono il ritorno del Pil italiano ai livelli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 solo nel 2027. Con un problema: che gli altri Stati avranno recuperato al termine del 2021. Se non si cambia rotta ci sarà una bancarotta italiana generale, una perdita di competitività e l’acquisto indiscriminato dei nostri asset strategici da parte di colossi economici stranieri. Cosa che sta già avvenendo.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</w:p>
    <w:p w14:paraId="55ACAC87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Accelerare sulle soluzioni sanitarie</w:t>
      </w:r>
      <w:r w:rsidRPr="005C4BBD">
        <w:rPr>
          <w:rFonts w:ascii="Times New Roman" w:eastAsia="Palatino" w:hAnsi="Times New Roman" w:cs="Times New Roman"/>
          <w:b/>
          <w:bCs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 xml:space="preserve">Sulla base di dati ufficiali emerge che il numero dei posti letto occupati nelle strutture ospedaliere ha superato il livello di guardia, nonostante la lieve flessione nella curva dei contagi. È altissima la percentuale di contagiati anche tra il personale sanitario, ormai insufficiente a coprire i turni di lavoro. Il vaccino, quando arriverà, non sarà risolutivo perché servono mesi per vaccinare la popolazione. Al momento esistono però cure efficaci a base di anticorpi monoclonali. La FDA americana ha approvato i prodotti di Eli Lilly e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Regeneron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. A giudizio degli scienziati l’uso degli anticorpi ridurrebbe i ricoveri dal 72 all’85% Poiché la cura ridurrebbe significativamente la pressione sugli ospedali (i costi non sono alti se paragonati a quelli della degenza in terapia intensiva e sub-intensiva) chiediamo di sapere se l’Italia intende approvare al più presto questi farmaci, accelerando le procedure per uso compassionevole. L’impatto che il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lockdown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 sta avendo sull’economia e sulla vita delle persone, impone azioni urgenti che vi chiediamo di portare avanti dandoci riscontro.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</w:p>
    <w:p w14:paraId="5C63AA48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Indennizzi adeguati ai costi e sostegno al credito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>Le nostre attività non riescono a stare aperte senza sostegni. Servono adeguati contributi a fondo perduto. A partire dai settori in cui l’emergenza ha picchiato e picchia in modo più duro.  In particolare, i provvedimenti d’urgenza vanno integrati con una norma che riconosca risarcimenti (e non ristori) a tutte le imprese che hanno subito cali di fatturato significativi con riferimenti temporali più ampi e aggiornati.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</w:p>
    <w:p w14:paraId="768873EE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I nodi della fiscalità e della burocrazia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 xml:space="preserve">Le imprese vanno accompagnate nella ripresa della normalità economica con misure strutturali di riduzione della pressione fiscale e semplificazione degli adempimenti. Chiediamo una rimodulazione del sistema fiscale per i prossimi cinque anni (quando forse staremo per tornare ai livelli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) e riteniamo indispensabile rivedere i parametri di congruità fiscale, dopo mesi durissimi per le imprese. Bisogna reagire con maggiore determinazione e continuità: perché disperazione e rabbia crescono. Precauzione, adeguatezza e proporzionalità sono i principi di riferimento per il contrasto dell'emergenza. Sono principi ineccepibili. Nessuno deve essere lasciato senza risposte e senza aiuto. Questa volta sbagliare è davvero vietato. Ne va della tenuta sociale del Paese. Sul tema della burocrazia evidenziamo che i primi nove mesi del 2020, a causa dello smart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, si è creato un ulteriore allungamento dei tempi degli iter amministrativi ed autorizzativi. Se vogliamo cogliere tutte le sollecitazioni per la </w:t>
      </w:r>
      <w:proofErr w:type="gramStart"/>
      <w:r w:rsidRPr="005C4BBD">
        <w:rPr>
          <w:rFonts w:ascii="Times New Roman" w:hAnsi="Times New Roman" w:cs="Times New Roman"/>
          <w:sz w:val="24"/>
          <w:szCs w:val="24"/>
        </w:rPr>
        <w:t>ripartenza ,</w:t>
      </w:r>
      <w:proofErr w:type="gramEnd"/>
      <w:r w:rsidRPr="005C4BBD">
        <w:rPr>
          <w:rFonts w:ascii="Times New Roman" w:hAnsi="Times New Roman" w:cs="Times New Roman"/>
          <w:sz w:val="24"/>
          <w:szCs w:val="24"/>
        </w:rPr>
        <w:t xml:space="preserve"> occorre che sistema pubblico e privato stringano una alleanza mirata alla semplificazione allo snellimento del carico della burocrazia. 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</w:p>
    <w:p w14:paraId="6BD46140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Attenzioni particolari ai settori più colpiti.</w:t>
      </w:r>
    </w:p>
    <w:p w14:paraId="4DA3D4C0" w14:textId="77777777" w:rsidR="00287B59" w:rsidRPr="005C4BBD" w:rsidRDefault="00BD204B">
      <w:pPr>
        <w:pStyle w:val="Paragrafoelenco"/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 xml:space="preserve">Vanno studiate misure particolari per i comparti più colpiti. Ad esempio a quelli legati al turismo, con un periodo dilatato nel sostegno (minimo diciotto mesi) e della moda con un credito di imposta a favore del commercio per contenere gli effetti negativi sulle rimanenze finali di magazzino nel settore del tessile, della moda e degli accessori. 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>Più in generale servono moratorie fiscali più ampie ed inclusive e strumenti fiscali di supporto al rafforzamento patrimoniale delle imprese ed alle loro aggregazioni</w:t>
      </w:r>
    </w:p>
    <w:p w14:paraId="2125B75F" w14:textId="77777777" w:rsidR="00287B59" w:rsidRPr="005C4BBD" w:rsidRDefault="00287B59">
      <w:pPr>
        <w:pStyle w:val="Paragrafoelenco"/>
        <w:rPr>
          <w:rFonts w:ascii="Times New Roman" w:eastAsia="Palatino" w:hAnsi="Times New Roman" w:cs="Times New Roman"/>
          <w:sz w:val="24"/>
          <w:szCs w:val="24"/>
        </w:rPr>
      </w:pPr>
    </w:p>
    <w:p w14:paraId="3EF88763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Il tema del lavoro e della crescita</w:t>
      </w:r>
      <w:r w:rsidRPr="005C4BBD">
        <w:rPr>
          <w:rFonts w:ascii="Times New Roman" w:eastAsia="Palatino" w:hAnsi="Times New Roman" w:cs="Times New Roman"/>
          <w:b/>
          <w:bCs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 xml:space="preserve">Va affrontato il nodo della riduzione del cuneo fiscale e contributivo sul costo del lavoro. E serve la continuità degli ammortizzatori sociali insieme alla consapevolezza della necessità della loro riforma e di una stagione nuova di vere politiche attive per il lavoro e di giusta flessibilità governata e contrattata. Questo tema della flessibilità (con il </w:t>
      </w:r>
      <w:r w:rsidRPr="005C4BBD">
        <w:rPr>
          <w:rFonts w:ascii="Times New Roman" w:hAnsi="Times New Roman" w:cs="Times New Roman"/>
          <w:b/>
          <w:bCs/>
          <w:sz w:val="24"/>
          <w:szCs w:val="24"/>
        </w:rPr>
        <w:t>ritorno dei voucher</w:t>
      </w:r>
      <w:r w:rsidRPr="005C4BBD">
        <w:rPr>
          <w:rFonts w:ascii="Times New Roman" w:hAnsi="Times New Roman" w:cs="Times New Roman"/>
          <w:sz w:val="24"/>
          <w:szCs w:val="24"/>
        </w:rPr>
        <w:t xml:space="preserve">) appare fondamentale, in particolare per alcuni settori, come quelli della ristorazione. 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</w:p>
    <w:p w14:paraId="5F6EAC91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Il sostegno al credito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>Centrale per la ripartenza è il tema del credito. Molte imprese si sono indebitate per non scomparire, per fare investimenti (soprattutto sulla sicurezza) e per far fronte a esigenze di liquidità (spese di gestione) che comunque non si sono fermate. E anche alla ripartenza avranno bisogno di ulteriore credito. Chiediamo moratorie creditizie (con vigenza anche oltre il giugno 2021), le risorse per le garanzie finalizzate ad agevolare l’accesso al credito e scelte di regolamentazione bancaria che facilitino, anche in termini di accantonamenti, l’erogazione del credito, a partire dalle PMI. Il rischio di infiltrazione della criminalità organizzata nel bisogno di liquidità delle aziende è altissimo.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</w:p>
    <w:p w14:paraId="33DF1B15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Fiscalità locale</w:t>
      </w:r>
    </w:p>
    <w:p w14:paraId="111EB765" w14:textId="77777777" w:rsidR="00287B59" w:rsidRPr="005C4BBD" w:rsidRDefault="00BD204B">
      <w:pPr>
        <w:pStyle w:val="Paragrafoelenco"/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 xml:space="preserve">Abbiamo apprezzato il lavoro svolto dalle Amministrazioni locali per ascoltare le imprese e per rispondere alle loro esigenze. Occorre che queste misure non si fermino con la fine del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lockdown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 xml:space="preserve">. Chiediamo un anno bianco per la </w:t>
      </w:r>
      <w:proofErr w:type="spellStart"/>
      <w:r w:rsidRPr="005C4BBD">
        <w:rPr>
          <w:rFonts w:ascii="Times New Roman" w:hAnsi="Times New Roman" w:cs="Times New Roman"/>
          <w:sz w:val="24"/>
          <w:szCs w:val="24"/>
        </w:rPr>
        <w:t>cosap</w:t>
      </w:r>
      <w:proofErr w:type="spellEnd"/>
      <w:r w:rsidRPr="005C4BBD">
        <w:rPr>
          <w:rFonts w:ascii="Times New Roman" w:hAnsi="Times New Roman" w:cs="Times New Roman"/>
          <w:sz w:val="24"/>
          <w:szCs w:val="24"/>
        </w:rPr>
        <w:t>, un significativo taglio della Tari, e lo stralcio delle cartelle esattoriali per carichi pendenti riconducibili al periodo pandemico.</w:t>
      </w:r>
    </w:p>
    <w:p w14:paraId="626E4B19" w14:textId="77777777" w:rsidR="00287B59" w:rsidRPr="005C4BBD" w:rsidRDefault="00287B59">
      <w:pPr>
        <w:pStyle w:val="Paragrafoelenco"/>
        <w:rPr>
          <w:rFonts w:ascii="Times New Roman" w:eastAsia="Palatino" w:hAnsi="Times New Roman" w:cs="Times New Roman"/>
          <w:sz w:val="24"/>
          <w:szCs w:val="24"/>
        </w:rPr>
      </w:pPr>
    </w:p>
    <w:p w14:paraId="3C43DAC5" w14:textId="77777777" w:rsidR="00287B59" w:rsidRPr="005C4BBD" w:rsidRDefault="00BD204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Ripartire dalle città (e la tassa sul web)</w:t>
      </w:r>
    </w:p>
    <w:p w14:paraId="122C857F" w14:textId="77777777" w:rsidR="00287B59" w:rsidRPr="005C4BBD" w:rsidRDefault="00BD204B">
      <w:pPr>
        <w:pStyle w:val="Paragrafoelenco"/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Questa pandemia ha portato nuovi stili di consumo. Le imprese si sono adattate cogliendo la sfida del digitale. Ma è un percorso che va sostenuto. Sappiamo che in questi mesi il canale online  è cresciuto del 200%- Per questo pensiamo che l’innovazione digitale debba essere accompagnata tanto da eque regole di trattamento fiscale - è il tema della web-tax e di una determinata iniziativa europea in tal senso, volta ad evitare che sorgano aree deregolamentate e, dunque, defiscalizzate, in cui vengano prodotti redditi che riescono a sfuggire a qualsiasi forma di tassazione - quanto da processi di innovazione per la riqualificazione e la vivibilità dei contesti urbani.</w:t>
      </w:r>
    </w:p>
    <w:p w14:paraId="510A0904" w14:textId="77777777" w:rsidR="00287B59" w:rsidRPr="005C4BBD" w:rsidRDefault="00BD204B">
      <w:pPr>
        <w:pStyle w:val="Paragrafoelenco"/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Non possiamo prescindere dal pensare al futuro lasciando marginali i centri storici. Occorre investire sulla funzione di negozi e servizi di prossimità e così rilanciando i luoghi dove le persone vivono. Chiediamo dunque che, nelle previsioni di utilizzo del Recovery Fund, sia ricompreso il finanziamento di un “Progetto per le città e le economie urbane” dedicato al sostegno di iniziative di rigenerazione urbana, mediante partenariati pubblico-privati tra amministrazioni territoriali ed organizzazioni imprenditoriali e sociali.</w:t>
      </w:r>
    </w:p>
    <w:p w14:paraId="0908BAEB" w14:textId="77777777" w:rsidR="00287B59" w:rsidRPr="005C4BBD" w:rsidRDefault="00BD204B">
      <w:pPr>
        <w:pStyle w:val="Paragrafoelenco"/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È necessario un approccio integrato ed orientato al rafforzamento del servizio di prossimità e del pluralismo delle forme distributive, allo sviluppo di reti territoriali per la valorizzazione turistica ed alla riattivazione delle economie locali, anche delle piccole città e dei paesi.</w:t>
      </w:r>
    </w:p>
    <w:p w14:paraId="5421D56D" w14:textId="77777777" w:rsidR="005C4BBD" w:rsidRPr="005C4BBD" w:rsidRDefault="005C4BBD" w:rsidP="005C4BBD">
      <w:pPr>
        <w:rPr>
          <w:rFonts w:ascii="Times New Roman" w:hAnsi="Times New Roman" w:cs="Times New Roman"/>
          <w:sz w:val="24"/>
          <w:szCs w:val="24"/>
        </w:rPr>
      </w:pPr>
    </w:p>
    <w:p w14:paraId="2EF78265" w14:textId="5722263D" w:rsidR="00287B59" w:rsidRPr="005C4BBD" w:rsidRDefault="00BD204B" w:rsidP="005C4BBD">
      <w:pPr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Queste richieste e riflessioni hanno carattere di urgenza e immediatezza. Ma ancora più urgenti sono le misure da prendere “domani”. Ecco quello che riteniamo indifferibile:</w:t>
      </w:r>
    </w:p>
    <w:p w14:paraId="685218EE" w14:textId="77777777" w:rsidR="00287B59" w:rsidRPr="005C4BBD" w:rsidRDefault="00BD204B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la riapertura immediata di tutte le attività (negozi, bar e ristoranti). Ripetiamo: debitamente controllate e con le dovute precauzioni NON SONO FONTE DI CONTAGIO!</w:t>
      </w:r>
    </w:p>
    <w:p w14:paraId="3093642A" w14:textId="77777777" w:rsidR="00287B59" w:rsidRPr="005C4BBD" w:rsidRDefault="00BD204B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la possibilità di aprire 7 giorni su 7 con orario continuato (9.00-22.00 per negozi – 5.00-23.00 per bar e ristoranti).</w:t>
      </w:r>
    </w:p>
    <w:p w14:paraId="217662D8" w14:textId="77777777" w:rsidR="00287B59" w:rsidRPr="005C4BBD" w:rsidRDefault="00BD204B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spostamento del coprifuoco alle ore 23.00.</w:t>
      </w:r>
    </w:p>
    <w:p w14:paraId="55BACC2A" w14:textId="77777777" w:rsidR="00287B59" w:rsidRPr="005C4BBD" w:rsidRDefault="00BD204B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possibilità di allestire e usufruire gratuitamente dei plateatici di bar e ristoranti attrezzandosi con funghi e riscaldamento.</w:t>
      </w:r>
    </w:p>
    <w:p w14:paraId="7A373CF9" w14:textId="77777777" w:rsidR="00287B59" w:rsidRPr="005C4BBD" w:rsidRDefault="00BD204B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spostamenti consentiti tra comuni almeno sul territorio provinciale.</w:t>
      </w:r>
    </w:p>
    <w:p w14:paraId="342B14DE" w14:textId="77777777" w:rsidR="00287B59" w:rsidRPr="005C4BBD" w:rsidRDefault="00BD204B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uno sforzo da parte delle amministrazioni per agevolare l’accesso ai centri storici rendendo gratuito o calmierata la sosta.</w:t>
      </w:r>
    </w:p>
    <w:p w14:paraId="73CC5E97" w14:textId="77777777" w:rsidR="00287B59" w:rsidRPr="005C4BBD" w:rsidRDefault="00BD204B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Moratoria fiscale e delle cartelle esattoriali. Anno bianco 2021 per le imposte comunali.</w:t>
      </w:r>
    </w:p>
    <w:p w14:paraId="0255ADD0" w14:textId="77777777" w:rsidR="00287B59" w:rsidRPr="005C4BBD" w:rsidRDefault="00BD204B">
      <w:pPr>
        <w:pStyle w:val="Paragrafoelenco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sz w:val="24"/>
          <w:szCs w:val="24"/>
        </w:rPr>
        <w:t>Politica di immediato risarcimento dei reali danni subiti e non “ristori” elemosina.</w:t>
      </w:r>
    </w:p>
    <w:p w14:paraId="2BF9A7DB" w14:textId="77777777" w:rsidR="00287B59" w:rsidRPr="005C4BBD" w:rsidRDefault="00BD204B">
      <w:pPr>
        <w:spacing w:after="200" w:line="276" w:lineRule="auto"/>
        <w:jc w:val="both"/>
        <w:rPr>
          <w:rFonts w:ascii="Times New Roman" w:eastAsia="Palatino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5C4BBD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Le imprese ovviamente si impegneranno a far rispettare regole e misure già in vigore con i precedenti protocolli. </w:t>
      </w:r>
    </w:p>
    <w:p w14:paraId="23A9453E" w14:textId="77777777" w:rsidR="00287B59" w:rsidRPr="005C4BBD" w:rsidRDefault="00BD204B">
      <w:pPr>
        <w:rPr>
          <w:rFonts w:ascii="Times New Roman" w:eastAsia="Palatino" w:hAnsi="Times New Roman" w:cs="Times New Roman"/>
          <w:sz w:val="24"/>
          <w:szCs w:val="24"/>
        </w:rPr>
      </w:pPr>
      <w:r w:rsidRPr="005C4BBD">
        <w:rPr>
          <w:rFonts w:ascii="Times New Roman" w:hAnsi="Times New Roman" w:cs="Times New Roman"/>
          <w:b/>
          <w:bCs/>
          <w:sz w:val="24"/>
          <w:szCs w:val="24"/>
        </w:rPr>
        <w:t>Conclusioni</w:t>
      </w:r>
      <w:r w:rsidRPr="005C4BBD">
        <w:rPr>
          <w:rFonts w:ascii="Times New Roman" w:eastAsia="Palatino" w:hAnsi="Times New Roman" w:cs="Times New Roman"/>
          <w:sz w:val="24"/>
          <w:szCs w:val="24"/>
        </w:rPr>
        <w:br/>
      </w:r>
      <w:r w:rsidRPr="005C4BBD">
        <w:rPr>
          <w:rFonts w:ascii="Times New Roman" w:hAnsi="Times New Roman" w:cs="Times New Roman"/>
          <w:sz w:val="24"/>
          <w:szCs w:val="24"/>
        </w:rPr>
        <w:t>La gravità della situazione e la posta in gioco impongono a tutti una assunzione di responsabilità la massima coesione per raggiungere un obiettivo comune: far ripartire il Paese e garantire un futuro all’Italia che sia all’altezza della sua storia. Ma possiamo riuscirci solo mettendo al centro il bene comune, solo ascoltandoci e lavorando ciascuno secondo le sue possibilità. Per questo auspichiamo che questo momento di incontro il primo passo di un progetto più articolato e condiviso.</w:t>
      </w:r>
    </w:p>
    <w:p w14:paraId="2FD22D59" w14:textId="77777777" w:rsidR="00287B59" w:rsidRDefault="00287B59">
      <w:pPr>
        <w:rPr>
          <w:rFonts w:ascii="Palatino" w:eastAsia="Palatino" w:hAnsi="Palatino" w:cs="Palatino"/>
          <w:sz w:val="28"/>
          <w:szCs w:val="28"/>
        </w:rPr>
      </w:pP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49"/>
        <w:gridCol w:w="1620"/>
        <w:gridCol w:w="1542"/>
        <w:gridCol w:w="1378"/>
        <w:gridCol w:w="1295"/>
        <w:gridCol w:w="1174"/>
        <w:gridCol w:w="1174"/>
      </w:tblGrid>
      <w:tr w:rsidR="00287B59" w14:paraId="37CFDD6A" w14:textId="77777777">
        <w:trPr>
          <w:trHeight w:val="1357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2704C" w14:textId="77777777" w:rsidR="00287B59" w:rsidRDefault="00BD2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presidente</w:t>
            </w:r>
            <w:r>
              <w:rPr>
                <w:sz w:val="16"/>
                <w:szCs w:val="16"/>
              </w:rPr>
              <w:br/>
              <w:t>Confartigianato</w:t>
            </w:r>
            <w:r>
              <w:rPr>
                <w:sz w:val="16"/>
                <w:szCs w:val="16"/>
              </w:rPr>
              <w:br/>
              <w:t>Cremona</w:t>
            </w:r>
          </w:p>
          <w:p w14:paraId="1D3AD998" w14:textId="77777777" w:rsidR="00287B59" w:rsidRDefault="00BD204B">
            <w:pPr>
              <w:jc w:val="center"/>
            </w:pPr>
            <w:r>
              <w:rPr>
                <w:sz w:val="16"/>
                <w:szCs w:val="16"/>
              </w:rPr>
              <w:t>Massimo Rivoltini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A68B8" w14:textId="77777777" w:rsidR="00287B59" w:rsidRDefault="00BD2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presidente</w:t>
            </w:r>
            <w:r>
              <w:rPr>
                <w:sz w:val="16"/>
                <w:szCs w:val="16"/>
              </w:rPr>
              <w:br/>
              <w:t>Confartigianato</w:t>
            </w:r>
            <w:r>
              <w:rPr>
                <w:sz w:val="16"/>
                <w:szCs w:val="16"/>
              </w:rPr>
              <w:br/>
              <w:t>Crema</w:t>
            </w:r>
          </w:p>
          <w:p w14:paraId="0B504625" w14:textId="77777777" w:rsidR="00287B59" w:rsidRDefault="00BD204B">
            <w:pPr>
              <w:jc w:val="center"/>
            </w:pPr>
            <w:r>
              <w:rPr>
                <w:sz w:val="16"/>
                <w:szCs w:val="16"/>
              </w:rPr>
              <w:t>Pierpaolo Soffientini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B11E" w14:textId="77777777" w:rsidR="00287B59" w:rsidRDefault="00BD2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presidente</w:t>
            </w:r>
            <w:r>
              <w:rPr>
                <w:sz w:val="16"/>
                <w:szCs w:val="16"/>
              </w:rPr>
              <w:br/>
              <w:t>provinciale</w:t>
            </w:r>
            <w:r>
              <w:rPr>
                <w:sz w:val="16"/>
                <w:szCs w:val="16"/>
              </w:rPr>
              <w:br/>
              <w:t>Confesercenti</w:t>
            </w:r>
          </w:p>
          <w:p w14:paraId="065A7DCE" w14:textId="77777777" w:rsidR="00287B59" w:rsidRDefault="00BD204B">
            <w:pPr>
              <w:jc w:val="center"/>
            </w:pPr>
            <w:r>
              <w:rPr>
                <w:sz w:val="16"/>
                <w:szCs w:val="16"/>
              </w:rPr>
              <w:t>Agostino Boschiroli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8FA43" w14:textId="77777777" w:rsidR="00287B59" w:rsidRDefault="00BD2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presidente</w:t>
            </w:r>
            <w:r>
              <w:rPr>
                <w:sz w:val="16"/>
                <w:szCs w:val="16"/>
              </w:rPr>
              <w:br/>
              <w:t>provinciale</w:t>
            </w:r>
            <w:r>
              <w:rPr>
                <w:sz w:val="16"/>
                <w:szCs w:val="16"/>
              </w:rPr>
              <w:br/>
              <w:t>CNA</w:t>
            </w:r>
          </w:p>
          <w:p w14:paraId="7FC5BF8B" w14:textId="77777777" w:rsidR="00287B59" w:rsidRDefault="00BD204B">
            <w:pPr>
              <w:jc w:val="center"/>
            </w:pPr>
            <w:r>
              <w:rPr>
                <w:sz w:val="16"/>
                <w:szCs w:val="16"/>
              </w:rPr>
              <w:t>Giovanni Bozzini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22437" w14:textId="77777777" w:rsidR="00287B59" w:rsidRDefault="00BD2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presidente</w:t>
            </w:r>
            <w:r>
              <w:rPr>
                <w:sz w:val="16"/>
                <w:szCs w:val="16"/>
              </w:rPr>
              <w:br/>
              <w:t>provinciale</w:t>
            </w:r>
            <w:r>
              <w:rPr>
                <w:sz w:val="16"/>
                <w:szCs w:val="16"/>
              </w:rPr>
              <w:br/>
              <w:t>Confcommercio</w:t>
            </w:r>
          </w:p>
          <w:p w14:paraId="4A444166" w14:textId="77777777" w:rsidR="00287B59" w:rsidRDefault="00BD204B">
            <w:pPr>
              <w:jc w:val="center"/>
            </w:pPr>
            <w:r>
              <w:rPr>
                <w:sz w:val="16"/>
                <w:szCs w:val="16"/>
              </w:rPr>
              <w:t>Andrea Badioni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DC3B7" w14:textId="77777777" w:rsidR="00287B59" w:rsidRDefault="00BD2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presidente</w:t>
            </w:r>
            <w:r>
              <w:rPr>
                <w:sz w:val="16"/>
                <w:szCs w:val="16"/>
              </w:rPr>
              <w:br/>
              <w:t>provinciale</w:t>
            </w:r>
            <w:r>
              <w:rPr>
                <w:sz w:val="16"/>
                <w:szCs w:val="16"/>
              </w:rPr>
              <w:br/>
              <w:t>Asvicom</w:t>
            </w:r>
          </w:p>
          <w:p w14:paraId="549A1F44" w14:textId="77777777" w:rsidR="00287B59" w:rsidRDefault="00BD204B">
            <w:pPr>
              <w:jc w:val="center"/>
            </w:pPr>
            <w:r>
              <w:rPr>
                <w:sz w:val="16"/>
                <w:szCs w:val="16"/>
              </w:rPr>
              <w:t>Berlino Tazza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C638" w14:textId="643F7B59" w:rsidR="00965794" w:rsidRDefault="00965794" w:rsidP="009657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presidente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Ascom Crema</w:t>
            </w:r>
            <w:r>
              <w:rPr>
                <w:sz w:val="16"/>
                <w:szCs w:val="16"/>
              </w:rPr>
              <w:br/>
            </w:r>
          </w:p>
          <w:p w14:paraId="37AE6119" w14:textId="52C66672" w:rsidR="00287B59" w:rsidRDefault="00965794" w:rsidP="00965794">
            <w:pPr>
              <w:jc w:val="center"/>
            </w:pPr>
            <w:r>
              <w:rPr>
                <w:sz w:val="16"/>
                <w:szCs w:val="16"/>
              </w:rPr>
              <w:t>Dario Silvi</w:t>
            </w:r>
          </w:p>
        </w:tc>
      </w:tr>
    </w:tbl>
    <w:p w14:paraId="3C6E0379" w14:textId="77777777" w:rsidR="00287B59" w:rsidRDefault="00287B59">
      <w:pPr>
        <w:widowControl w:val="0"/>
        <w:spacing w:line="240" w:lineRule="auto"/>
      </w:pPr>
    </w:p>
    <w:sectPr w:rsidR="00287B59">
      <w:headerReference w:type="default" r:id="rId14"/>
      <w:footerReference w:type="default" r:id="rId15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AE414" w14:textId="77777777" w:rsidR="00031F0D" w:rsidRDefault="00031F0D">
      <w:pPr>
        <w:spacing w:after="0" w:line="240" w:lineRule="auto"/>
      </w:pPr>
      <w:r>
        <w:separator/>
      </w:r>
    </w:p>
  </w:endnote>
  <w:endnote w:type="continuationSeparator" w:id="0">
    <w:p w14:paraId="491AB564" w14:textId="77777777" w:rsidR="00031F0D" w:rsidRDefault="0003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Palatino">
    <w:altName w:val="Palatino Linotype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76F6C" w14:textId="77777777" w:rsidR="00287B59" w:rsidRDefault="00287B5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3FE11" w14:textId="77777777" w:rsidR="00031F0D" w:rsidRDefault="00031F0D">
      <w:pPr>
        <w:spacing w:after="0" w:line="240" w:lineRule="auto"/>
      </w:pPr>
      <w:r>
        <w:separator/>
      </w:r>
    </w:p>
  </w:footnote>
  <w:footnote w:type="continuationSeparator" w:id="0">
    <w:p w14:paraId="0F90BCC9" w14:textId="77777777" w:rsidR="00031F0D" w:rsidRDefault="0003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6E089" w14:textId="77777777" w:rsidR="00287B59" w:rsidRDefault="00287B5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51A"/>
    <w:multiLevelType w:val="hybridMultilevel"/>
    <w:tmpl w:val="E4424948"/>
    <w:numStyleLink w:val="Stileimportato1"/>
  </w:abstractNum>
  <w:abstractNum w:abstractNumId="1" w15:restartNumberingAfterBreak="0">
    <w:nsid w:val="14082331"/>
    <w:multiLevelType w:val="hybridMultilevel"/>
    <w:tmpl w:val="05E8E856"/>
    <w:numStyleLink w:val="Stileimportato10"/>
  </w:abstractNum>
  <w:abstractNum w:abstractNumId="2" w15:restartNumberingAfterBreak="0">
    <w:nsid w:val="5AB80B6D"/>
    <w:multiLevelType w:val="hybridMultilevel"/>
    <w:tmpl w:val="05E8E856"/>
    <w:styleLink w:val="Stileimportato10"/>
    <w:lvl w:ilvl="0" w:tplc="C8563E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000212">
      <w:start w:val="1"/>
      <w:numFmt w:val="bullet"/>
      <w:lvlText w:val="o"/>
      <w:lvlJc w:val="left"/>
      <w:pPr>
        <w:ind w:left="133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62A142">
      <w:start w:val="1"/>
      <w:numFmt w:val="bullet"/>
      <w:lvlText w:val="▪"/>
      <w:lvlJc w:val="left"/>
      <w:pPr>
        <w:ind w:left="205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F6C784">
      <w:start w:val="1"/>
      <w:numFmt w:val="bullet"/>
      <w:lvlText w:val="·"/>
      <w:lvlJc w:val="left"/>
      <w:pPr>
        <w:ind w:left="2772" w:hanging="2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3C6BD2">
      <w:start w:val="1"/>
      <w:numFmt w:val="bullet"/>
      <w:lvlText w:val="o"/>
      <w:lvlJc w:val="left"/>
      <w:pPr>
        <w:ind w:left="349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74D18A">
      <w:start w:val="1"/>
      <w:numFmt w:val="bullet"/>
      <w:lvlText w:val="▪"/>
      <w:lvlJc w:val="left"/>
      <w:pPr>
        <w:ind w:left="421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2C26E8">
      <w:start w:val="1"/>
      <w:numFmt w:val="bullet"/>
      <w:lvlText w:val="·"/>
      <w:lvlJc w:val="left"/>
      <w:pPr>
        <w:ind w:left="4932" w:hanging="2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AC1AEE">
      <w:start w:val="1"/>
      <w:numFmt w:val="bullet"/>
      <w:lvlText w:val="o"/>
      <w:lvlJc w:val="left"/>
      <w:pPr>
        <w:ind w:left="565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A4D504">
      <w:start w:val="1"/>
      <w:numFmt w:val="bullet"/>
      <w:lvlText w:val="▪"/>
      <w:lvlJc w:val="left"/>
      <w:pPr>
        <w:ind w:left="6372" w:hanging="2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0416EA8"/>
    <w:multiLevelType w:val="hybridMultilevel"/>
    <w:tmpl w:val="E4424948"/>
    <w:styleLink w:val="Stileimportato1"/>
    <w:lvl w:ilvl="0" w:tplc="DD76A97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A862">
      <w:start w:val="1"/>
      <w:numFmt w:val="lowerLetter"/>
      <w:lvlText w:val="%2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A3F32">
      <w:start w:val="1"/>
      <w:numFmt w:val="lowerRoman"/>
      <w:lvlText w:val="%3."/>
      <w:lvlJc w:val="left"/>
      <w:pPr>
        <w:ind w:left="2240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D41034">
      <w:start w:val="1"/>
      <w:numFmt w:val="decimal"/>
      <w:lvlText w:val="%4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9688AA">
      <w:start w:val="1"/>
      <w:numFmt w:val="lowerLetter"/>
      <w:lvlText w:val="%5."/>
      <w:lvlJc w:val="left"/>
      <w:pPr>
        <w:ind w:left="36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6BCE4">
      <w:start w:val="1"/>
      <w:numFmt w:val="lowerRoman"/>
      <w:lvlText w:val="%6."/>
      <w:lvlJc w:val="left"/>
      <w:pPr>
        <w:ind w:left="4400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B42E74">
      <w:start w:val="1"/>
      <w:numFmt w:val="decimal"/>
      <w:lvlText w:val="%7."/>
      <w:lvlJc w:val="left"/>
      <w:pPr>
        <w:ind w:left="51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A29E58">
      <w:start w:val="1"/>
      <w:numFmt w:val="lowerLetter"/>
      <w:lvlText w:val="%8."/>
      <w:lvlJc w:val="left"/>
      <w:pPr>
        <w:ind w:left="58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2ABD20">
      <w:start w:val="1"/>
      <w:numFmt w:val="lowerRoman"/>
      <w:lvlText w:val="%9."/>
      <w:lvlJc w:val="left"/>
      <w:pPr>
        <w:ind w:left="6560" w:hanging="37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isplayBackgroundShape/>
  <w:proofState w:spelling="clean" w:grammar="clean"/>
  <w:revisionView w:inkAnnotations="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B59"/>
    <w:rsid w:val="00031F0D"/>
    <w:rsid w:val="00287B59"/>
    <w:rsid w:val="005C4BBD"/>
    <w:rsid w:val="00965794"/>
    <w:rsid w:val="009B406F"/>
    <w:rsid w:val="00B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F1A2"/>
  <w15:docId w15:val="{6B918D6C-0632-4DFA-85F1-BE8A353D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0">
    <w:name w:val="Stile importato 1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1944</Words>
  <Characters>11082</Characters>
  <Application>Microsoft Office Word</Application>
  <DocSecurity>0</DocSecurity>
  <Lines>92</Lines>
  <Paragraphs>25</Paragraphs>
  <ScaleCrop>false</ScaleCrop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Bardelli</dc:creator>
  <cp:lastModifiedBy>Alberto Bardelli</cp:lastModifiedBy>
  <cp:revision>2</cp:revision>
  <dcterms:created xsi:type="dcterms:W3CDTF">2020-11-25T14:18:00Z</dcterms:created>
  <dcterms:modified xsi:type="dcterms:W3CDTF">2020-11-25T14:18:00Z</dcterms:modified>
</cp:coreProperties>
</file>